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97" w:rsidRDefault="00072B97" w:rsidP="00066E5B">
      <w:pPr>
        <w:spacing w:after="120"/>
        <w:jc w:val="center"/>
        <w:rPr>
          <w:b/>
          <w:color w:val="000000" w:themeColor="text1"/>
          <w:u w:val="single"/>
        </w:rPr>
      </w:pPr>
    </w:p>
    <w:p w:rsidR="00E75CE9" w:rsidRPr="00072B97" w:rsidRDefault="00E75CE9" w:rsidP="00066E5B">
      <w:pPr>
        <w:spacing w:after="120"/>
        <w:jc w:val="center"/>
        <w:rPr>
          <w:b/>
          <w:color w:val="000000" w:themeColor="text1"/>
          <w:u w:val="single"/>
        </w:rPr>
      </w:pPr>
      <w:r w:rsidRPr="00072B97">
        <w:rPr>
          <w:b/>
          <w:color w:val="000000" w:themeColor="text1"/>
          <w:u w:val="single"/>
        </w:rPr>
        <w:t>GUIA</w:t>
      </w:r>
      <w:r w:rsidR="0035755D" w:rsidRPr="00072B97">
        <w:rPr>
          <w:b/>
          <w:color w:val="000000" w:themeColor="text1"/>
          <w:u w:val="single"/>
        </w:rPr>
        <w:t xml:space="preserve"> DE ACTUACIÓN </w:t>
      </w:r>
      <w:r w:rsidRPr="00072B97">
        <w:rPr>
          <w:b/>
          <w:color w:val="000000" w:themeColor="text1"/>
          <w:u w:val="single"/>
        </w:rPr>
        <w:t xml:space="preserve">ANTE </w:t>
      </w:r>
      <w:r w:rsidR="0035755D" w:rsidRPr="00072B97">
        <w:rPr>
          <w:b/>
          <w:color w:val="000000" w:themeColor="text1"/>
          <w:u w:val="single"/>
        </w:rPr>
        <w:t>LA DECLARACIÓN DE SINIESTRO</w:t>
      </w:r>
      <w:r w:rsidR="00294EF8" w:rsidRPr="00072B97">
        <w:rPr>
          <w:b/>
          <w:color w:val="000000" w:themeColor="text1"/>
          <w:u w:val="single"/>
        </w:rPr>
        <w:t>S</w:t>
      </w:r>
    </w:p>
    <w:p w:rsidR="00E75CE9" w:rsidRPr="00072B97" w:rsidRDefault="00E75CE9" w:rsidP="00066E5B">
      <w:pPr>
        <w:spacing w:after="120"/>
        <w:jc w:val="center"/>
        <w:rPr>
          <w:color w:val="000000" w:themeColor="text1"/>
          <w:sz w:val="20"/>
          <w:szCs w:val="20"/>
          <w:u w:val="single"/>
        </w:rPr>
      </w:pPr>
    </w:p>
    <w:p w:rsidR="00E75CE9" w:rsidRPr="00072B97" w:rsidRDefault="00E75CE9" w:rsidP="00E75CE9">
      <w:pPr>
        <w:jc w:val="both"/>
        <w:rPr>
          <w:color w:val="000000" w:themeColor="text1"/>
          <w:sz w:val="20"/>
          <w:szCs w:val="20"/>
        </w:rPr>
      </w:pPr>
      <w:r w:rsidRPr="00072B97">
        <w:rPr>
          <w:color w:val="000000" w:themeColor="text1"/>
          <w:sz w:val="20"/>
          <w:szCs w:val="20"/>
        </w:rPr>
        <w:t xml:space="preserve">El asegurado o el responsable de la gestión de siniestros de la empresa asegurada </w:t>
      </w:r>
      <w:proofErr w:type="gramStart"/>
      <w:r w:rsidRPr="00072B97">
        <w:rPr>
          <w:color w:val="000000" w:themeColor="text1"/>
          <w:sz w:val="20"/>
          <w:szCs w:val="20"/>
        </w:rPr>
        <w:t>deberá</w:t>
      </w:r>
      <w:proofErr w:type="gramEnd"/>
      <w:r w:rsidRPr="00072B97">
        <w:rPr>
          <w:color w:val="000000" w:themeColor="text1"/>
          <w:sz w:val="20"/>
          <w:szCs w:val="20"/>
        </w:rPr>
        <w:t xml:space="preserve"> comunicar la ocurrencia del siniestro en el </w:t>
      </w:r>
      <w:r w:rsidR="006751B5" w:rsidRPr="00072B97">
        <w:rPr>
          <w:color w:val="000000" w:themeColor="text1"/>
          <w:sz w:val="20"/>
          <w:szCs w:val="20"/>
        </w:rPr>
        <w:t>plazo más breve posible (con un</w:t>
      </w:r>
      <w:r w:rsidRPr="00072B97">
        <w:rPr>
          <w:color w:val="000000" w:themeColor="text1"/>
          <w:sz w:val="20"/>
          <w:szCs w:val="20"/>
        </w:rPr>
        <w:t xml:space="preserve"> máximo de siete días</w:t>
      </w:r>
      <w:r w:rsidR="006751B5" w:rsidRPr="00072B97">
        <w:rPr>
          <w:color w:val="000000" w:themeColor="text1"/>
          <w:sz w:val="20"/>
          <w:szCs w:val="20"/>
        </w:rPr>
        <w:t>)</w:t>
      </w:r>
      <w:r w:rsidRPr="00072B97">
        <w:rPr>
          <w:color w:val="000000" w:themeColor="text1"/>
          <w:sz w:val="20"/>
          <w:szCs w:val="20"/>
        </w:rPr>
        <w:t>. Dicha comunicación deberá hacerse a su corredor de seguros o directamente al asegurador, facilitando la documentación o información que a continuación se detalla:</w:t>
      </w:r>
    </w:p>
    <w:p w:rsidR="00CD0E05" w:rsidRPr="00072B97" w:rsidRDefault="000A1616" w:rsidP="00A4782B">
      <w:pPr>
        <w:pStyle w:val="Prrafodelista"/>
        <w:numPr>
          <w:ilvl w:val="0"/>
          <w:numId w:val="3"/>
        </w:numPr>
        <w:ind w:left="426" w:hanging="284"/>
        <w:jc w:val="both"/>
        <w:rPr>
          <w:color w:val="000000" w:themeColor="text1"/>
          <w:sz w:val="20"/>
          <w:szCs w:val="20"/>
          <w:u w:val="single"/>
        </w:rPr>
      </w:pPr>
      <w:r w:rsidRPr="00072B97">
        <w:rPr>
          <w:color w:val="000000" w:themeColor="text1"/>
          <w:sz w:val="20"/>
          <w:szCs w:val="20"/>
          <w:u w:val="single"/>
        </w:rPr>
        <w:t>Obligatorios para cual</w:t>
      </w:r>
      <w:r w:rsidR="00CD0E05" w:rsidRPr="00072B97">
        <w:rPr>
          <w:color w:val="000000" w:themeColor="text1"/>
          <w:sz w:val="20"/>
          <w:szCs w:val="20"/>
          <w:u w:val="single"/>
        </w:rPr>
        <w:t>quier declaración de siniestro</w:t>
      </w:r>
    </w:p>
    <w:p w:rsidR="00E75CE9" w:rsidRPr="00072B97" w:rsidRDefault="00E75CE9" w:rsidP="00E75CE9">
      <w:pPr>
        <w:pStyle w:val="Prrafodelista"/>
        <w:ind w:left="426"/>
        <w:jc w:val="both"/>
        <w:rPr>
          <w:color w:val="000000" w:themeColor="text1"/>
          <w:sz w:val="20"/>
          <w:szCs w:val="20"/>
          <w:u w:val="single"/>
        </w:rPr>
      </w:pPr>
    </w:p>
    <w:p w:rsidR="00E75CE9" w:rsidRPr="00072B97" w:rsidRDefault="00E75CE9" w:rsidP="00E75CE9">
      <w:pPr>
        <w:pStyle w:val="Prrafodelista"/>
        <w:numPr>
          <w:ilvl w:val="0"/>
          <w:numId w:val="8"/>
        </w:numPr>
        <w:jc w:val="both"/>
        <w:rPr>
          <w:color w:val="000000" w:themeColor="text1"/>
          <w:sz w:val="20"/>
          <w:szCs w:val="20"/>
        </w:rPr>
      </w:pPr>
      <w:r w:rsidRPr="00072B97">
        <w:rPr>
          <w:color w:val="000000" w:themeColor="text1"/>
          <w:sz w:val="20"/>
          <w:szCs w:val="20"/>
        </w:rPr>
        <w:t>El asegurado deberá facilitar el nombre de la persona de contacto en la empresa tomadora del seguro que se encargará de las interlocuciones, así como dirección de correo electrónico y teléfono de contacto.</w:t>
      </w:r>
    </w:p>
    <w:p w:rsidR="00A4782B" w:rsidRPr="00072B97" w:rsidRDefault="00A4782B" w:rsidP="00A4782B">
      <w:pPr>
        <w:pStyle w:val="Prrafodelista"/>
        <w:ind w:left="426"/>
        <w:jc w:val="both"/>
        <w:rPr>
          <w:color w:val="000000" w:themeColor="text1"/>
          <w:sz w:val="20"/>
          <w:szCs w:val="20"/>
          <w:u w:val="single"/>
        </w:rPr>
      </w:pPr>
    </w:p>
    <w:p w:rsidR="00A4782B" w:rsidRPr="00072B97" w:rsidRDefault="00A4782B" w:rsidP="000A1616">
      <w:pPr>
        <w:pStyle w:val="Prrafodelista"/>
        <w:numPr>
          <w:ilvl w:val="0"/>
          <w:numId w:val="4"/>
        </w:numPr>
        <w:jc w:val="both"/>
        <w:rPr>
          <w:color w:val="000000" w:themeColor="text1"/>
          <w:sz w:val="20"/>
          <w:szCs w:val="20"/>
        </w:rPr>
      </w:pPr>
      <w:r w:rsidRPr="00072B97">
        <w:rPr>
          <w:color w:val="000000" w:themeColor="text1"/>
          <w:sz w:val="20"/>
          <w:szCs w:val="20"/>
        </w:rPr>
        <w:t>El asegurado deberá co</w:t>
      </w:r>
      <w:r w:rsidR="00C966A8" w:rsidRPr="00072B97">
        <w:rPr>
          <w:color w:val="000000" w:themeColor="text1"/>
          <w:sz w:val="20"/>
          <w:szCs w:val="20"/>
        </w:rPr>
        <w:t>municar si tuvo previo</w:t>
      </w:r>
      <w:r w:rsidRPr="00072B97">
        <w:rPr>
          <w:color w:val="000000" w:themeColor="text1"/>
          <w:sz w:val="20"/>
          <w:szCs w:val="20"/>
        </w:rPr>
        <w:t xml:space="preserve"> conocimiento de la reclamación</w:t>
      </w:r>
      <w:r w:rsidR="00E75CE9" w:rsidRPr="00072B97">
        <w:rPr>
          <w:color w:val="000000" w:themeColor="text1"/>
          <w:sz w:val="20"/>
          <w:szCs w:val="20"/>
        </w:rPr>
        <w:t>, entendiendo por previo conocimiento cualquier comunicación en la que se aleguen circunstancias susceptibles de cobertura bajo la póliza suscrita</w:t>
      </w:r>
      <w:r w:rsidRPr="00072B97">
        <w:rPr>
          <w:color w:val="000000" w:themeColor="text1"/>
          <w:sz w:val="20"/>
          <w:szCs w:val="20"/>
        </w:rPr>
        <w:t>. Dicho escrito deberá estar firmado por el asegurado.</w:t>
      </w:r>
    </w:p>
    <w:p w:rsidR="00A4782B" w:rsidRPr="00072B97" w:rsidRDefault="00A4782B" w:rsidP="00A4782B">
      <w:pPr>
        <w:pStyle w:val="Prrafodelista"/>
        <w:jc w:val="both"/>
        <w:rPr>
          <w:color w:val="000000" w:themeColor="text1"/>
          <w:sz w:val="20"/>
          <w:szCs w:val="20"/>
        </w:rPr>
      </w:pPr>
    </w:p>
    <w:p w:rsidR="00A61884" w:rsidRPr="00072B97" w:rsidRDefault="000A1616" w:rsidP="00124AB4">
      <w:pPr>
        <w:pStyle w:val="Prrafodelista"/>
        <w:jc w:val="both"/>
        <w:rPr>
          <w:color w:val="000000" w:themeColor="text1"/>
          <w:sz w:val="20"/>
          <w:szCs w:val="20"/>
        </w:rPr>
      </w:pPr>
      <w:r w:rsidRPr="00072B97">
        <w:rPr>
          <w:color w:val="000000" w:themeColor="text1"/>
          <w:sz w:val="20"/>
          <w:szCs w:val="20"/>
        </w:rPr>
        <w:t xml:space="preserve">En el caso de que existiese una reclamación anterior a la judicial, el asegurado deberá aportar copia de la misma. De haberse realizado ésta verbalmente deberá </w:t>
      </w:r>
      <w:r w:rsidR="00CD0E05" w:rsidRPr="00072B97">
        <w:rPr>
          <w:color w:val="000000" w:themeColor="text1"/>
          <w:sz w:val="20"/>
          <w:szCs w:val="20"/>
        </w:rPr>
        <w:t xml:space="preserve">hacer un breve resumen de </w:t>
      </w:r>
      <w:r w:rsidRPr="00072B97">
        <w:rPr>
          <w:color w:val="000000" w:themeColor="text1"/>
          <w:sz w:val="20"/>
          <w:szCs w:val="20"/>
        </w:rPr>
        <w:t>su contenido.</w:t>
      </w:r>
    </w:p>
    <w:p w:rsidR="00124AB4" w:rsidRPr="00072B97" w:rsidRDefault="00124AB4" w:rsidP="00124AB4">
      <w:pPr>
        <w:pStyle w:val="Prrafodelista"/>
        <w:jc w:val="both"/>
        <w:rPr>
          <w:color w:val="000000" w:themeColor="text1"/>
          <w:sz w:val="20"/>
          <w:szCs w:val="20"/>
        </w:rPr>
      </w:pPr>
    </w:p>
    <w:p w:rsidR="00A61884" w:rsidRPr="00072B97" w:rsidRDefault="00A61884" w:rsidP="00A61884">
      <w:pPr>
        <w:pStyle w:val="Prrafodelista"/>
        <w:numPr>
          <w:ilvl w:val="0"/>
          <w:numId w:val="4"/>
        </w:numPr>
        <w:jc w:val="both"/>
        <w:rPr>
          <w:color w:val="000000" w:themeColor="text1"/>
          <w:sz w:val="20"/>
          <w:szCs w:val="20"/>
        </w:rPr>
      </w:pPr>
      <w:r w:rsidRPr="00072B97">
        <w:rPr>
          <w:color w:val="000000" w:themeColor="text1"/>
          <w:sz w:val="20"/>
          <w:szCs w:val="20"/>
        </w:rPr>
        <w:t>El asegurado deberá detallar</w:t>
      </w:r>
      <w:r w:rsidR="00E75CE9" w:rsidRPr="00072B97">
        <w:rPr>
          <w:color w:val="000000" w:themeColor="text1"/>
          <w:sz w:val="20"/>
          <w:szCs w:val="20"/>
        </w:rPr>
        <w:t xml:space="preserve"> la existencia de cualquier tipo</w:t>
      </w:r>
      <w:r w:rsidRPr="00072B97">
        <w:rPr>
          <w:color w:val="000000" w:themeColor="text1"/>
          <w:sz w:val="20"/>
          <w:szCs w:val="20"/>
        </w:rPr>
        <w:t xml:space="preserve"> seguro </w:t>
      </w:r>
      <w:r w:rsidR="00E75CE9" w:rsidRPr="00072B97">
        <w:rPr>
          <w:color w:val="000000" w:themeColor="text1"/>
          <w:sz w:val="20"/>
          <w:szCs w:val="20"/>
        </w:rPr>
        <w:t xml:space="preserve">contratado </w:t>
      </w:r>
      <w:r w:rsidRPr="00072B97">
        <w:rPr>
          <w:color w:val="000000" w:themeColor="text1"/>
          <w:sz w:val="20"/>
          <w:szCs w:val="20"/>
        </w:rPr>
        <w:t>que pudiera ser de aplicación.</w:t>
      </w:r>
    </w:p>
    <w:p w:rsidR="000A1616" w:rsidRPr="00072B97" w:rsidRDefault="000A1616" w:rsidP="000A1616">
      <w:pPr>
        <w:pStyle w:val="Prrafodelista"/>
        <w:rPr>
          <w:color w:val="000000" w:themeColor="text1"/>
          <w:sz w:val="20"/>
          <w:szCs w:val="20"/>
        </w:rPr>
      </w:pPr>
    </w:p>
    <w:p w:rsidR="000A1616" w:rsidRPr="00072B97" w:rsidRDefault="00A61884" w:rsidP="000A1616">
      <w:pPr>
        <w:pStyle w:val="Prrafodelista"/>
        <w:numPr>
          <w:ilvl w:val="0"/>
          <w:numId w:val="4"/>
        </w:numPr>
        <w:jc w:val="both"/>
        <w:rPr>
          <w:color w:val="000000" w:themeColor="text1"/>
          <w:sz w:val="20"/>
          <w:szCs w:val="20"/>
        </w:rPr>
      </w:pPr>
      <w:r w:rsidRPr="00072B97">
        <w:rPr>
          <w:color w:val="000000" w:themeColor="text1"/>
          <w:sz w:val="20"/>
          <w:szCs w:val="20"/>
        </w:rPr>
        <w:t>En su caso</w:t>
      </w:r>
      <w:r w:rsidR="000A1616" w:rsidRPr="00072B97">
        <w:rPr>
          <w:color w:val="000000" w:themeColor="text1"/>
          <w:sz w:val="20"/>
          <w:szCs w:val="20"/>
        </w:rPr>
        <w:t>, documento por el que se establezca la relación entre el perjud</w:t>
      </w:r>
      <w:r w:rsidR="00273F6A" w:rsidRPr="00072B97">
        <w:rPr>
          <w:color w:val="000000" w:themeColor="text1"/>
          <w:sz w:val="20"/>
          <w:szCs w:val="20"/>
        </w:rPr>
        <w:t xml:space="preserve">icado/reclamante y el asegurado, tales como el </w:t>
      </w:r>
      <w:r w:rsidR="00FA0CC6" w:rsidRPr="00072B97">
        <w:rPr>
          <w:color w:val="000000" w:themeColor="text1"/>
          <w:sz w:val="20"/>
          <w:szCs w:val="20"/>
        </w:rPr>
        <w:t>contrato, hoja de encargo, proyecto de la obra</w:t>
      </w:r>
      <w:r w:rsidR="00CD51F5" w:rsidRPr="00072B97">
        <w:rPr>
          <w:color w:val="000000" w:themeColor="text1"/>
          <w:sz w:val="20"/>
          <w:szCs w:val="20"/>
        </w:rPr>
        <w:t>,  o cualquier otro equivalente.</w:t>
      </w:r>
    </w:p>
    <w:p w:rsidR="000A1616" w:rsidRPr="00072B97" w:rsidRDefault="000A1616" w:rsidP="000A1616">
      <w:pPr>
        <w:pStyle w:val="Prrafodelista"/>
        <w:rPr>
          <w:color w:val="000000" w:themeColor="text1"/>
          <w:sz w:val="20"/>
          <w:szCs w:val="20"/>
        </w:rPr>
      </w:pPr>
    </w:p>
    <w:p w:rsidR="000A1616" w:rsidRPr="00072B97" w:rsidRDefault="000A1616" w:rsidP="00066E5B">
      <w:pPr>
        <w:pStyle w:val="Prrafodelista"/>
        <w:numPr>
          <w:ilvl w:val="0"/>
          <w:numId w:val="4"/>
        </w:numPr>
        <w:jc w:val="both"/>
        <w:rPr>
          <w:color w:val="000000" w:themeColor="text1"/>
          <w:sz w:val="20"/>
          <w:szCs w:val="20"/>
        </w:rPr>
      </w:pPr>
      <w:r w:rsidRPr="00072B97">
        <w:rPr>
          <w:color w:val="000000" w:themeColor="text1"/>
          <w:sz w:val="20"/>
          <w:szCs w:val="20"/>
        </w:rPr>
        <w:t>Cuando la reclamación se dirija contra una persona que mantenga relación de dependencia de cualquier tipo con el asegurado, se aportará la documentación que acredite ésta vinculación. (contrato laboral, contrato de prestación de servicios, subcontrata, etc.)</w:t>
      </w:r>
    </w:p>
    <w:p w:rsidR="000A1616" w:rsidRPr="00072B97" w:rsidRDefault="000A1616" w:rsidP="000A1616">
      <w:pPr>
        <w:pStyle w:val="Prrafodelista"/>
        <w:jc w:val="both"/>
        <w:rPr>
          <w:color w:val="000000" w:themeColor="text1"/>
          <w:sz w:val="20"/>
          <w:szCs w:val="20"/>
        </w:rPr>
      </w:pPr>
    </w:p>
    <w:p w:rsidR="000A1616" w:rsidRPr="00072B97" w:rsidRDefault="000A1616" w:rsidP="000A1616">
      <w:pPr>
        <w:pStyle w:val="Prrafodelista"/>
        <w:numPr>
          <w:ilvl w:val="0"/>
          <w:numId w:val="3"/>
        </w:numPr>
        <w:ind w:left="426" w:hanging="284"/>
        <w:jc w:val="both"/>
        <w:rPr>
          <w:color w:val="000000" w:themeColor="text1"/>
          <w:sz w:val="20"/>
          <w:szCs w:val="20"/>
          <w:u w:val="single"/>
        </w:rPr>
      </w:pPr>
      <w:r w:rsidRPr="00072B97">
        <w:rPr>
          <w:color w:val="000000" w:themeColor="text1"/>
          <w:sz w:val="20"/>
          <w:szCs w:val="20"/>
          <w:u w:val="single"/>
        </w:rPr>
        <w:t xml:space="preserve">En caso de reclamaciones </w:t>
      </w:r>
      <w:r w:rsidR="00C35390" w:rsidRPr="00072B97">
        <w:rPr>
          <w:color w:val="000000" w:themeColor="text1"/>
          <w:sz w:val="20"/>
          <w:szCs w:val="20"/>
          <w:u w:val="single"/>
        </w:rPr>
        <w:t>judiciales</w:t>
      </w:r>
    </w:p>
    <w:p w:rsidR="000B2220" w:rsidRPr="00072B97" w:rsidRDefault="000B2220" w:rsidP="000B2220">
      <w:pPr>
        <w:pStyle w:val="Prrafodelista"/>
        <w:rPr>
          <w:color w:val="000000" w:themeColor="text1"/>
          <w:sz w:val="20"/>
          <w:szCs w:val="20"/>
        </w:rPr>
      </w:pPr>
    </w:p>
    <w:p w:rsidR="00E00A98" w:rsidRPr="00072B97" w:rsidRDefault="00C35390" w:rsidP="00FD7F25">
      <w:pPr>
        <w:pStyle w:val="Prrafodelista"/>
        <w:numPr>
          <w:ilvl w:val="0"/>
          <w:numId w:val="2"/>
        </w:numPr>
        <w:jc w:val="both"/>
        <w:rPr>
          <w:color w:val="000000" w:themeColor="text1"/>
          <w:sz w:val="20"/>
          <w:szCs w:val="20"/>
        </w:rPr>
      </w:pPr>
      <w:r w:rsidRPr="00072B97">
        <w:rPr>
          <w:color w:val="000000" w:themeColor="text1"/>
          <w:sz w:val="20"/>
          <w:szCs w:val="20"/>
        </w:rPr>
        <w:t>S</w:t>
      </w:r>
      <w:r w:rsidR="00E00A98" w:rsidRPr="00072B97">
        <w:rPr>
          <w:color w:val="000000" w:themeColor="text1"/>
          <w:sz w:val="20"/>
          <w:szCs w:val="20"/>
        </w:rPr>
        <w:t xml:space="preserve">e deberá aportar </w:t>
      </w:r>
      <w:r w:rsidR="00A4782B" w:rsidRPr="00072B97">
        <w:rPr>
          <w:color w:val="000000" w:themeColor="text1"/>
          <w:sz w:val="20"/>
          <w:szCs w:val="20"/>
        </w:rPr>
        <w:t xml:space="preserve">a la mayor brevedad </w:t>
      </w:r>
      <w:r w:rsidR="00E00A98" w:rsidRPr="00072B97">
        <w:rPr>
          <w:color w:val="000000" w:themeColor="text1"/>
          <w:sz w:val="20"/>
          <w:szCs w:val="20"/>
        </w:rPr>
        <w:t xml:space="preserve">la demanda </w:t>
      </w:r>
      <w:r w:rsidR="00A4782B" w:rsidRPr="00072B97">
        <w:rPr>
          <w:color w:val="000000" w:themeColor="text1"/>
          <w:sz w:val="20"/>
          <w:szCs w:val="20"/>
        </w:rPr>
        <w:t>or</w:t>
      </w:r>
      <w:r w:rsidR="006751B5" w:rsidRPr="00072B97">
        <w:rPr>
          <w:color w:val="000000" w:themeColor="text1"/>
          <w:sz w:val="20"/>
          <w:szCs w:val="20"/>
        </w:rPr>
        <w:t>iginal con todos sus documentos, haciendo expresa mención al día en que fue recibida.</w:t>
      </w:r>
    </w:p>
    <w:p w:rsidR="0089112A" w:rsidRPr="00072B97" w:rsidRDefault="00124AB4" w:rsidP="00124AB4">
      <w:pPr>
        <w:ind w:left="390"/>
        <w:jc w:val="both"/>
        <w:rPr>
          <w:color w:val="000000" w:themeColor="text1"/>
          <w:sz w:val="20"/>
          <w:szCs w:val="20"/>
        </w:rPr>
      </w:pPr>
      <w:r w:rsidRPr="00072B97">
        <w:rPr>
          <w:color w:val="000000" w:themeColor="text1"/>
          <w:sz w:val="20"/>
          <w:szCs w:val="20"/>
        </w:rPr>
        <w:t>Tal y como se encuentra establecido en la póliza, el Asegurador asume la defensa jurídica frente a la reclamación recibida, por lo que el asegurado debe abstenerse de designar a profesionales sin la expresa autorización del asegurador.</w:t>
      </w:r>
    </w:p>
    <w:p w:rsidR="000A1616" w:rsidRPr="00072B97" w:rsidRDefault="000A1616" w:rsidP="000A1616">
      <w:pPr>
        <w:pStyle w:val="Prrafodelista"/>
        <w:ind w:left="750"/>
        <w:jc w:val="both"/>
        <w:rPr>
          <w:color w:val="000000" w:themeColor="text1"/>
          <w:sz w:val="20"/>
          <w:szCs w:val="20"/>
        </w:rPr>
      </w:pPr>
    </w:p>
    <w:p w:rsidR="000A1616" w:rsidRPr="00072B97" w:rsidRDefault="00031244" w:rsidP="000A1616">
      <w:pPr>
        <w:pStyle w:val="Prrafodelista"/>
        <w:numPr>
          <w:ilvl w:val="0"/>
          <w:numId w:val="3"/>
        </w:numPr>
        <w:ind w:left="426" w:hanging="284"/>
        <w:jc w:val="both"/>
        <w:rPr>
          <w:color w:val="FF0000"/>
          <w:sz w:val="20"/>
          <w:szCs w:val="20"/>
          <w:u w:val="single"/>
        </w:rPr>
      </w:pPr>
      <w:r w:rsidRPr="00072B97">
        <w:rPr>
          <w:sz w:val="20"/>
          <w:szCs w:val="20"/>
          <w:u w:val="single"/>
        </w:rPr>
        <w:t>En los siniestros de importe superior a 10.000€</w:t>
      </w:r>
      <w:r w:rsidR="00A4782B" w:rsidRPr="00072B97">
        <w:rPr>
          <w:sz w:val="20"/>
          <w:szCs w:val="20"/>
          <w:u w:val="single"/>
        </w:rPr>
        <w:t xml:space="preserve"> (Responsabilidad civil)</w:t>
      </w:r>
    </w:p>
    <w:p w:rsidR="001758ED" w:rsidRPr="00072B97" w:rsidRDefault="001758ED" w:rsidP="001758ED">
      <w:pPr>
        <w:pStyle w:val="Prrafodelista"/>
        <w:rPr>
          <w:sz w:val="20"/>
          <w:szCs w:val="20"/>
        </w:rPr>
      </w:pPr>
    </w:p>
    <w:p w:rsidR="0035755D" w:rsidRPr="00072B97" w:rsidRDefault="00031244" w:rsidP="00037416">
      <w:pPr>
        <w:pStyle w:val="Prrafodelista"/>
        <w:numPr>
          <w:ilvl w:val="0"/>
          <w:numId w:val="2"/>
        </w:numPr>
        <w:jc w:val="both"/>
        <w:rPr>
          <w:sz w:val="20"/>
          <w:szCs w:val="20"/>
          <w:u w:val="single"/>
        </w:rPr>
      </w:pPr>
      <w:r w:rsidRPr="00072B97">
        <w:rPr>
          <w:sz w:val="20"/>
          <w:szCs w:val="20"/>
        </w:rPr>
        <w:t>S</w:t>
      </w:r>
      <w:r w:rsidR="001758ED" w:rsidRPr="00072B97">
        <w:rPr>
          <w:sz w:val="20"/>
          <w:szCs w:val="20"/>
        </w:rPr>
        <w:t>e deberán aportar las cuentas correspondientes al ejercicio anterior a la declaración del siniestro.</w:t>
      </w:r>
      <w:r w:rsidR="000B2220" w:rsidRPr="00072B97">
        <w:rPr>
          <w:sz w:val="20"/>
          <w:szCs w:val="20"/>
        </w:rPr>
        <w:t xml:space="preserve"> </w:t>
      </w:r>
    </w:p>
    <w:sectPr w:rsidR="0035755D" w:rsidRPr="00072B97" w:rsidSect="00072B9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52" w:rsidRDefault="00EE4752" w:rsidP="00066E5B">
      <w:pPr>
        <w:spacing w:after="0" w:line="240" w:lineRule="auto"/>
      </w:pPr>
      <w:r>
        <w:separator/>
      </w:r>
    </w:p>
  </w:endnote>
  <w:endnote w:type="continuationSeparator" w:id="0">
    <w:p w:rsidR="00EE4752" w:rsidRDefault="00EE4752" w:rsidP="00066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52" w:rsidRDefault="00EE4752" w:rsidP="00066E5B">
      <w:pPr>
        <w:spacing w:after="0" w:line="240" w:lineRule="auto"/>
      </w:pPr>
      <w:r>
        <w:separator/>
      </w:r>
    </w:p>
  </w:footnote>
  <w:footnote w:type="continuationSeparator" w:id="0">
    <w:p w:rsidR="00EE4752" w:rsidRDefault="00EE4752" w:rsidP="00066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5B" w:rsidRDefault="00072B97">
    <w:pPr>
      <w:pStyle w:val="Encabezado"/>
    </w:pPr>
    <w:r>
      <w:rPr>
        <w:noProof/>
        <w:lang w:eastAsia="es-ES"/>
      </w:rPr>
      <w:drawing>
        <wp:anchor distT="0" distB="0" distL="114300" distR="114300" simplePos="0" relativeHeight="251659264" behindDoc="1" locked="0" layoutInCell="1" allowOverlap="1">
          <wp:simplePos x="0" y="0"/>
          <wp:positionH relativeFrom="column">
            <wp:posOffset>-546735</wp:posOffset>
          </wp:positionH>
          <wp:positionV relativeFrom="paragraph">
            <wp:posOffset>-363855</wp:posOffset>
          </wp:positionV>
          <wp:extent cx="1419225" cy="876300"/>
          <wp:effectExtent l="1905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19225" cy="876300"/>
                  </a:xfrm>
                  <a:prstGeom prst="rect">
                    <a:avLst/>
                  </a:prstGeom>
                  <a:noFill/>
                  <a:ln w="9525">
                    <a:noFill/>
                    <a:miter lim="800000"/>
                    <a:headEnd/>
                    <a:tailEnd/>
                  </a:ln>
                </pic:spPr>
              </pic:pic>
            </a:graphicData>
          </a:graphic>
        </wp:anchor>
      </w:drawing>
    </w:r>
    <w:r w:rsidR="0052554F">
      <w:rPr>
        <w:noProof/>
        <w:lang w:eastAsia="es-ES"/>
      </w:rPr>
      <w:pict>
        <v:shapetype id="_x0000_t202" coordsize="21600,21600" o:spt="202" path="m,l,21600r21600,l21600,xe">
          <v:stroke joinstyle="miter"/>
          <v:path gradientshapeok="t" o:connecttype="rect"/>
        </v:shapetype>
        <v:shape id="_x0000_s9217" type="#_x0000_t202" style="position:absolute;margin-left:28.35pt;margin-top:25.85pt;width:538.6pt;height:17pt;z-index:251658240;mso-position-horizontal-relative:page;mso-position-vertical-relative:text" filled="f" stroked="f">
          <v:textbox style="mso-next-textbox:#_x0000_s9217">
            <w:txbxContent>
              <w:p w:rsidR="00066E5B" w:rsidRDefault="00066E5B" w:rsidP="00066E5B">
                <w:pPr>
                  <w:rPr>
                    <w:rFonts w:ascii="Calibri" w:eastAsia="Calibri" w:hAnsi="Calibri" w:cs="Times New Roman"/>
                    <w:szCs w:val="14"/>
                  </w:rPr>
                </w:pP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0E1"/>
    <w:multiLevelType w:val="hybridMultilevel"/>
    <w:tmpl w:val="C5EEB374"/>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
    <w:nsid w:val="1217401A"/>
    <w:multiLevelType w:val="hybridMultilevel"/>
    <w:tmpl w:val="E25C8CD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19B20124"/>
    <w:multiLevelType w:val="hybridMultilevel"/>
    <w:tmpl w:val="7ED656CE"/>
    <w:lvl w:ilvl="0" w:tplc="8092D98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5A162E"/>
    <w:multiLevelType w:val="hybridMultilevel"/>
    <w:tmpl w:val="C5E09B32"/>
    <w:lvl w:ilvl="0" w:tplc="1600494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567AF8"/>
    <w:multiLevelType w:val="hybridMultilevel"/>
    <w:tmpl w:val="BCB64A6C"/>
    <w:lvl w:ilvl="0" w:tplc="9ECCA5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5E57B5B"/>
    <w:multiLevelType w:val="hybridMultilevel"/>
    <w:tmpl w:val="F98E5E8C"/>
    <w:lvl w:ilvl="0" w:tplc="79A8808C">
      <w:start w:val="1"/>
      <w:numFmt w:val="bullet"/>
      <w:lvlText w:val="-"/>
      <w:lvlJc w:val="left"/>
      <w:pPr>
        <w:ind w:left="786" w:hanging="360"/>
      </w:pPr>
      <w:rPr>
        <w:rFonts w:ascii="Calibri" w:eastAsiaTheme="minorHAnsi"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5DC049BB"/>
    <w:multiLevelType w:val="hybridMultilevel"/>
    <w:tmpl w:val="7FD45F5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143D50"/>
    <w:multiLevelType w:val="hybridMultilevel"/>
    <w:tmpl w:val="AF4CA5A2"/>
    <w:lvl w:ilvl="0" w:tplc="D1AAF62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o:shapelayout v:ext="edit">
      <o:idmap v:ext="edit" data="9"/>
    </o:shapelayout>
  </w:hdrShapeDefaults>
  <w:footnotePr>
    <w:footnote w:id="-1"/>
    <w:footnote w:id="0"/>
  </w:footnotePr>
  <w:endnotePr>
    <w:endnote w:id="-1"/>
    <w:endnote w:id="0"/>
  </w:endnotePr>
  <w:compat/>
  <w:rsids>
    <w:rsidRoot w:val="0035755D"/>
    <w:rsid w:val="00031244"/>
    <w:rsid w:val="00037416"/>
    <w:rsid w:val="000413AE"/>
    <w:rsid w:val="00046011"/>
    <w:rsid w:val="00061537"/>
    <w:rsid w:val="00066E5B"/>
    <w:rsid w:val="00072B97"/>
    <w:rsid w:val="00074CF1"/>
    <w:rsid w:val="000A1616"/>
    <w:rsid w:val="000B2220"/>
    <w:rsid w:val="00124A23"/>
    <w:rsid w:val="00124AB4"/>
    <w:rsid w:val="001758ED"/>
    <w:rsid w:val="00207DDB"/>
    <w:rsid w:val="00273095"/>
    <w:rsid w:val="00273F6A"/>
    <w:rsid w:val="00294EF8"/>
    <w:rsid w:val="00346F26"/>
    <w:rsid w:val="0035755D"/>
    <w:rsid w:val="003D3093"/>
    <w:rsid w:val="003F01FF"/>
    <w:rsid w:val="0040014D"/>
    <w:rsid w:val="00463C9E"/>
    <w:rsid w:val="004B7FDA"/>
    <w:rsid w:val="0052554F"/>
    <w:rsid w:val="005D5DC2"/>
    <w:rsid w:val="005D7BE7"/>
    <w:rsid w:val="005F6CEB"/>
    <w:rsid w:val="00614E13"/>
    <w:rsid w:val="006717BF"/>
    <w:rsid w:val="006751B5"/>
    <w:rsid w:val="00716774"/>
    <w:rsid w:val="007320C9"/>
    <w:rsid w:val="00745F9C"/>
    <w:rsid w:val="007C180F"/>
    <w:rsid w:val="007C4404"/>
    <w:rsid w:val="00853B20"/>
    <w:rsid w:val="00854ECE"/>
    <w:rsid w:val="0089112A"/>
    <w:rsid w:val="008D54F7"/>
    <w:rsid w:val="00A4782B"/>
    <w:rsid w:val="00A61884"/>
    <w:rsid w:val="00B17158"/>
    <w:rsid w:val="00C35390"/>
    <w:rsid w:val="00C74537"/>
    <w:rsid w:val="00C87663"/>
    <w:rsid w:val="00C966A8"/>
    <w:rsid w:val="00CB2D87"/>
    <w:rsid w:val="00CD0E05"/>
    <w:rsid w:val="00CD51F5"/>
    <w:rsid w:val="00E00A98"/>
    <w:rsid w:val="00E24E69"/>
    <w:rsid w:val="00E75CE9"/>
    <w:rsid w:val="00EB78C0"/>
    <w:rsid w:val="00EE4752"/>
    <w:rsid w:val="00F263A1"/>
    <w:rsid w:val="00F52FC8"/>
    <w:rsid w:val="00F77D38"/>
    <w:rsid w:val="00FA0CC6"/>
    <w:rsid w:val="00FD7F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55D"/>
    <w:pPr>
      <w:ind w:left="720"/>
      <w:contextualSpacing/>
    </w:pPr>
  </w:style>
  <w:style w:type="paragraph" w:styleId="Encabezado">
    <w:name w:val="header"/>
    <w:basedOn w:val="Normal"/>
    <w:link w:val="EncabezadoCar"/>
    <w:uiPriority w:val="99"/>
    <w:semiHidden/>
    <w:unhideWhenUsed/>
    <w:rsid w:val="00066E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66E5B"/>
  </w:style>
  <w:style w:type="paragraph" w:styleId="Piedepgina">
    <w:name w:val="footer"/>
    <w:basedOn w:val="Normal"/>
    <w:link w:val="PiedepginaCar"/>
    <w:uiPriority w:val="99"/>
    <w:semiHidden/>
    <w:unhideWhenUsed/>
    <w:rsid w:val="00066E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66E5B"/>
  </w:style>
  <w:style w:type="paragraph" w:styleId="Textodeglobo">
    <w:name w:val="Balloon Text"/>
    <w:basedOn w:val="Normal"/>
    <w:link w:val="TextodegloboCar"/>
    <w:uiPriority w:val="99"/>
    <w:semiHidden/>
    <w:unhideWhenUsed/>
    <w:rsid w:val="00072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fteresa</cp:lastModifiedBy>
  <cp:revision>8</cp:revision>
  <cp:lastPrinted>2012-11-21T12:31:00Z</cp:lastPrinted>
  <dcterms:created xsi:type="dcterms:W3CDTF">2012-11-19T11:48:00Z</dcterms:created>
  <dcterms:modified xsi:type="dcterms:W3CDTF">2012-11-21T12:32:00Z</dcterms:modified>
</cp:coreProperties>
</file>